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243</w:t>
      </w:r>
    </w:p>
    <w:p>
      <w:r>
        <w:t>Bundesgericht (BGE), 1972-12-12, FR</w:t>
      </w:r>
    </w:p>
    <w:p>
      <w:r>
        <w:rPr>
          <w:b/>
        </w:rPr>
        <w:t xml:space="preserve">Quelle: </w:t>
      </w:r>
      <w:r>
        <w:t>https://mcp.opencaselaw.ch/entscheid/bge_98 V 243</w:t>
      </w:r>
    </w:p>
    <w:p>
      <w:r>
        <w:t>FR: ATF 98 V 243</w:t>
      </w:r>
    </w:p>
    <w:p>
      <w:r>
        <w:t>IT: DTF 98 V 243</w:t>
      </w:r>
    </w:p>
    <w:p>
      <w:pPr>
        <w:pStyle w:val="Heading2"/>
      </w:pPr>
      <w:r>
        <w:t>Regeste</w:t>
      </w:r>
    </w:p>
    <w:p>
      <w:r>
        <w:t>Regeste Für die Ermittlung des gemäss Art. 8 AHVG zu verabgabenden Einkommens sind die Angaben der Steuerbehörde unbrauchbar, wenn sie auch Lohn umfassen. In diesem Fall hat die Ausgleichskasse das Einkommen aus selbständiger Erwerbstätigkeit selbst einzuschätzen (Art. 23 und 24 AHVV).</w:t>
      </w:r>
    </w:p>
    <w:p>
      <w:pPr>
        <w:pStyle w:val="Heading2"/>
      </w:pPr>
      <w:r>
        <w:t>Erwägungen</w:t>
      </w:r>
    </w:p>
    <w:p>
      <w:r>
        <w:rPr>
          <w:b/>
        </w:rPr>
        <w:t>E. 3</w:t>
      </w:r>
    </w:p>
    <w:p>
      <w:r>
        <w:t>Pour fixer les cotisations personnelles, les caisses de compensation doivent se fonder en principe sur les revenus que leur communiquent les autorités fiscales. Ces données les lient (art. 23 al. 4 RAVS). Le juge peut toutefois, lui, s'écarter des taxations fiscales passées en force, mais seulement si ces dernières contiennent des erreurs manifestes et dûment prouvées qui peuvent être corrigées d'emblée, ou lorsqu'il s'agit d'apprécier des faits sans importance du point de vue fiscal mais décisifs en matière de droit des assurances sociales (v. p.ex. RO 98 V 18 consid. 3). Aux termes de l'art. 24 al. 1er RAVS cependant, il incombe aux caisses de compensation d'estimer elles-mêmes le revenu net déterminant la cotisation annuelle si les autorités fiscales cantonales ne peuvent pas communiquer le revenu ou si la communication tarde au point de faire surgir le risque d'une perte de cotisations. Suivant les directives de l'Office fédéral des assurances sociales sur les cotisations des travailleurs indépendants et des non-actifs (valables dès le 1er janvier 1970), la caisse de compensation doit estimer elle-même le revenu et l'intérêt du capital engagé dans l'entreprise lorsque, entre autres, "la communication de l'autorité fiscale est inutilisable, du fait, par exemple, que le revenu communiqué comprend également un salaire ou s'il s'agit d'un revenu acquis en commun par deux époux" (chiffre 172b). La Cour de céans ne voit aucun motif de s'écarter de ces directives.</w:t>
      </w:r>
    </w:p>
    <w:p>
      <w:r>
        <w:rPr>
          <w:b/>
        </w:rPr>
        <w:t>E. 4</w:t>
      </w:r>
    </w:p>
    <w:p>
      <w:r>
        <w:t>En l'espèce, la communication fiscale est inutilisable, du fait que les chiffres qu'elle indique comprennent aussi la rémunération d'une activité salariée. De toute façon, si, sur le plan fiscal, Hans Leemann n'avait aucun motif impérieux d'attaquer la taxation d'office fixant globalement ses revenus de salarié et d'indépendant, il importe, du point de vue de l'AVS, de distinguer entre les activités dépendante et indépendante, en raison de la différence des régimes de perception des cotisations institués par la loi. Aussi le jugement cantonal et la décision administrative attaqués, qui omettent cette distinction, ne peuvent-ils être maintenus. BGE 98 V 243 S. 245 Les pièces du dossier actuel ne permettent pas de fixer le montant du revenu de l'activité lucrative indépendante de l'assuré en 1969. C'est pourquoi la Cour, vu l'art. 114 al. 2, dernière phrase, OJ et la jurisprudence citée ci-dessus, renvoie l'affaire à la caisse de compensation, pour qu'elle procède à une estimation aussi correcte que possible du revenu de 1969 provenant de l'exploitation du commerce de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